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Reflexão corporativa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7.95275590551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gridCol w:w="1247.2440944881891"/>
        <w:tblGridChange w:id="0">
          <w:tblGrid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  <w:gridCol w:w="1247.2440944881891"/>
          </w:tblGrid>
        </w:tblGridChange>
      </w:tblGrid>
      <w:tr>
        <w:trPr>
          <w:cantSplit w:val="0"/>
          <w:tblHeader w:val="0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Estratégia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Metas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Responsável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Resultados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Avaliação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Reflexão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47504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47504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47504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4750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4750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4750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4750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4750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4750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4750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4750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47504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D475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D4750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47504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4750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4750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4750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4750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750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47504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D47504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475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47504"/>
  </w:style>
  <w:style w:type="paragraph" w:styleId="Footer">
    <w:name w:val="footer"/>
    <w:basedOn w:val="Normal"/>
    <w:link w:val="FooterChar"/>
    <w:uiPriority w:val="99"/>
    <w:unhideWhenUsed w:val="1"/>
    <w:rsid w:val="00D475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7504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A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0eASKV15mo+Z8L0wnBkxwraUqQ==">CgMxLjA4AHIhMXZwOXdHZTExVmdTT1R6SDFiS0Uyd0Y2ZFV6dEVEZ2Jr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2025-02-03T16:48:00Z</dcterms:created>
</cp:coreProperties>
</file>