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Matriz de solicitações entre áreas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0"/>
        <w:gridCol w:w="1333"/>
        <w:gridCol w:w="1192"/>
        <w:gridCol w:w="1903"/>
        <w:gridCol w:w="1139"/>
        <w:gridCol w:w="1095"/>
        <w:gridCol w:w="1528"/>
        <w:tblGridChange w:id="0">
          <w:tblGrid>
            <w:gridCol w:w="1160"/>
            <w:gridCol w:w="1333"/>
            <w:gridCol w:w="1192"/>
            <w:gridCol w:w="1903"/>
            <w:gridCol w:w="1139"/>
            <w:gridCol w:w="1095"/>
            <w:gridCol w:w="1528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vMerge w:val="restart"/>
            <w:shd w:fill="dae9f7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Área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solicitante</w:t>
            </w:r>
          </w:p>
        </w:tc>
        <w:tc>
          <w:tcPr>
            <w:vMerge w:val="restart"/>
            <w:shd w:fill="dae9f7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ae9f7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Aceita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(S/N)</w:t>
            </w:r>
          </w:p>
        </w:tc>
        <w:tc>
          <w:tcPr>
            <w:vMerge w:val="restart"/>
            <w:shd w:fill="dae9f7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Follow-up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necessário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ae9f7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Liderança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ae9f7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Próximos passos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shd w:fill="dae9f7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ae9f7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ae9f7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ae9f7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Solicitado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ae9f7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Solicitante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ae9f7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3198C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3198C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3198C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3198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3198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3198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3198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3198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3198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3198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3198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3198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93198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93198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3198C"/>
    <w:pPr>
      <w:spacing w:after="160" w:before="160"/>
      <w:jc w:val="center"/>
    </w:pPr>
    <w:rPr>
      <w:rFonts w:eastAsiaTheme="minorHAnsi"/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3198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3198C"/>
    <w:pPr>
      <w:ind w:left="720"/>
      <w:contextualSpacing w:val="1"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 w:val="1"/>
    <w:rsid w:val="0093198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3198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rFonts w:eastAsiaTheme="minorHAnsi"/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198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3198C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93198C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bVMe245At5NJ+Dm1c9nt+C7Uw==">CgMxLjA4AHIhMXZmYXdRZEVCOW55Yi10U1dsZXhacXlacW03WnRicVhS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2025-02-03T21:18:00Z</dcterms:created>
</cp:coreProperties>
</file>